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rFonts w:ascii="Open Sans" w:cs="Open Sans" w:eastAsia="Open Sans" w:hAnsi="Open San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1890713" cy="761196"/>
            <wp:effectExtent b="0" l="0" r="0" t="0"/>
            <wp:wrapTopAndBottom distB="0" distT="0"/>
            <wp:docPr descr="Text&#10;&#10;Description automatically generated" id="476790900" name="image1.jpg"/>
            <a:graphic>
              <a:graphicData uri="http://schemas.openxmlformats.org/drawingml/2006/picture">
                <pic:pic>
                  <pic:nvPicPr>
                    <pic:cNvPr descr="Text&#10;&#10;Description automatically generated" id="0" name="image1.jpg"/>
                    <pic:cNvPicPr preferRelativeResize="0"/>
                  </pic:nvPicPr>
                  <pic:blipFill>
                    <a:blip r:embed="rId7"/>
                    <a:srcRect b="0" l="0" r="0" t="0"/>
                    <a:stretch>
                      <a:fillRect/>
                    </a:stretch>
                  </pic:blipFill>
                  <pic:spPr>
                    <a:xfrm>
                      <a:off x="0" y="0"/>
                      <a:ext cx="1890713" cy="761196"/>
                    </a:xfrm>
                    <a:prstGeom prst="rect"/>
                    <a:ln/>
                  </pic:spPr>
                </pic:pic>
              </a:graphicData>
            </a:graphic>
          </wp:anchor>
        </w:drawing>
      </w:r>
    </w:p>
    <w:p w:rsidR="00000000" w:rsidDel="00000000" w:rsidP="00000000" w:rsidRDefault="00000000" w:rsidRPr="00000000" w14:paraId="00000002">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UW Chem 110: Preparation for General Chemistry</w:t>
      </w:r>
    </w:p>
    <w:p w:rsidR="00000000" w:rsidDel="00000000" w:rsidP="00000000" w:rsidRDefault="00000000" w:rsidRPr="00000000" w14:paraId="00000003">
      <w:pPr>
        <w:ind w:left="-720" w:righ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UW Credits: </w:t>
      </w:r>
      <w:r w:rsidDel="00000000" w:rsidR="00000000" w:rsidRPr="00000000">
        <w:rPr>
          <w:rFonts w:ascii="Open Sans" w:cs="Open Sans" w:eastAsia="Open Sans" w:hAnsi="Open Sans"/>
          <w:sz w:val="22"/>
          <w:szCs w:val="22"/>
          <w:rtl w:val="0"/>
        </w:rPr>
        <w:t xml:space="preserve">5</w:t>
      </w:r>
      <w:r w:rsidDel="00000000" w:rsidR="00000000" w:rsidRPr="00000000">
        <w:rPr>
          <w:rFonts w:ascii="Open Sans" w:cs="Open Sans" w:eastAsia="Open Sans" w:hAnsi="Open Sans"/>
          <w:b w:val="1"/>
          <w:sz w:val="22"/>
          <w:szCs w:val="22"/>
          <w:rtl w:val="0"/>
        </w:rPr>
        <w:t xml:space="preserve"> </w:t>
        <w:tab/>
        <w:t xml:space="preserve">HS Credits: </w:t>
      </w:r>
      <w:r w:rsidDel="00000000" w:rsidR="00000000" w:rsidRPr="00000000">
        <w:rPr>
          <w:rFonts w:ascii="Open Sans" w:cs="Open Sans" w:eastAsia="Open Sans" w:hAnsi="Open Sans"/>
          <w:sz w:val="22"/>
          <w:szCs w:val="22"/>
          <w:rtl w:val="0"/>
        </w:rPr>
        <w:t xml:space="preserve">1</w:t>
      </w:r>
      <w:r w:rsidDel="00000000" w:rsidR="00000000" w:rsidRPr="00000000">
        <w:rPr>
          <w:rtl w:val="0"/>
        </w:rPr>
      </w:r>
    </w:p>
    <w:p w:rsidR="00000000" w:rsidDel="00000000" w:rsidP="00000000" w:rsidRDefault="00000000" w:rsidRPr="00000000" w14:paraId="00000005">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6">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UW Quarter for Registration: </w:t>
      </w:r>
      <w:r w:rsidDel="00000000" w:rsidR="00000000" w:rsidRPr="00000000">
        <w:rPr>
          <w:rFonts w:ascii="Open Sans" w:cs="Open Sans" w:eastAsia="Open Sans" w:hAnsi="Open Sans"/>
          <w:sz w:val="22"/>
          <w:szCs w:val="22"/>
          <w:rtl w:val="0"/>
        </w:rPr>
        <w:t xml:space="preserve">Fall/Winter</w:t>
      </w:r>
      <w:r w:rsidDel="00000000" w:rsidR="00000000" w:rsidRPr="00000000">
        <w:rPr>
          <w:rFonts w:ascii="Open Sans" w:cs="Open Sans" w:eastAsia="Open Sans" w:hAnsi="Open Sans"/>
          <w:b w:val="1"/>
          <w:sz w:val="22"/>
          <w:szCs w:val="22"/>
          <w:rtl w:val="0"/>
        </w:rPr>
        <w:t xml:space="preserve"> </w:t>
        <w:tab/>
        <w:t xml:space="preserve">Course Dates:  9/4/2025 to 6/16/2026</w:t>
      </w:r>
    </w:p>
    <w:p w:rsidR="00000000" w:rsidDel="00000000" w:rsidP="00000000" w:rsidRDefault="00000000" w:rsidRPr="00000000" w14:paraId="00000007">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8">
      <w:pPr>
        <w:ind w:left="-720" w:right="-720" w:firstLine="0"/>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UW Last Day of Instruction: </w:t>
      </w:r>
      <w:r w:rsidDel="00000000" w:rsidR="00000000" w:rsidRPr="00000000">
        <w:rPr>
          <w:rFonts w:ascii="Open Sans" w:cs="Open Sans" w:eastAsia="Open Sans" w:hAnsi="Open Sans"/>
          <w:sz w:val="22"/>
          <w:szCs w:val="22"/>
          <w:rtl w:val="0"/>
        </w:rPr>
        <w:t xml:space="preserve">5/29/26</w:t>
      </w:r>
    </w:p>
    <w:p w:rsidR="00000000" w:rsidDel="00000000" w:rsidP="00000000" w:rsidRDefault="00000000" w:rsidRPr="00000000" w14:paraId="00000009">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A">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High School: </w:t>
      </w:r>
      <w:r w:rsidDel="00000000" w:rsidR="00000000" w:rsidRPr="00000000">
        <w:rPr>
          <w:rFonts w:ascii="Open Sans" w:cs="Open Sans" w:eastAsia="Open Sans" w:hAnsi="Open Sans"/>
          <w:sz w:val="22"/>
          <w:szCs w:val="22"/>
          <w:rtl w:val="0"/>
        </w:rPr>
        <w:t xml:space="preserve">Auburn Mountainview High School</w:t>
      </w:r>
      <w:r w:rsidDel="00000000" w:rsidR="00000000" w:rsidRPr="00000000">
        <w:rPr>
          <w:rtl w:val="0"/>
        </w:rPr>
      </w:r>
    </w:p>
    <w:p w:rsidR="00000000" w:rsidDel="00000000" w:rsidP="00000000" w:rsidRDefault="00000000" w:rsidRPr="00000000" w14:paraId="0000000B">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C">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Instructor: </w:t>
      </w:r>
      <w:r w:rsidDel="00000000" w:rsidR="00000000" w:rsidRPr="00000000">
        <w:rPr>
          <w:rFonts w:ascii="Open Sans" w:cs="Open Sans" w:eastAsia="Open Sans" w:hAnsi="Open Sans"/>
          <w:sz w:val="22"/>
          <w:szCs w:val="22"/>
          <w:rtl w:val="0"/>
        </w:rPr>
        <w:t xml:space="preserve">Mr. Steffin</w:t>
      </w:r>
      <w:r w:rsidDel="00000000" w:rsidR="00000000" w:rsidRPr="00000000">
        <w:rPr>
          <w:rtl w:val="0"/>
        </w:rPr>
      </w:r>
    </w:p>
    <w:p w:rsidR="00000000" w:rsidDel="00000000" w:rsidP="00000000" w:rsidRDefault="00000000" w:rsidRPr="00000000" w14:paraId="0000000D">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E">
      <w:pPr>
        <w:ind w:left="-720" w:right="-72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Contact Information: </w:t>
      </w:r>
      <w:r w:rsidDel="00000000" w:rsidR="00000000" w:rsidRPr="00000000">
        <w:rPr>
          <w:rFonts w:ascii="Open Sans" w:cs="Open Sans" w:eastAsia="Open Sans" w:hAnsi="Open Sans"/>
          <w:sz w:val="22"/>
          <w:szCs w:val="22"/>
          <w:rtl w:val="0"/>
        </w:rPr>
        <w:t xml:space="preserve">ksteffin@auburn.wednet.edu</w:t>
        <w:tab/>
        <w:t xml:space="preserve">                    </w:t>
      </w:r>
      <w:r w:rsidDel="00000000" w:rsidR="00000000" w:rsidRPr="00000000">
        <w:rPr>
          <w:rFonts w:ascii="Arial" w:cs="Arial" w:eastAsia="Arial" w:hAnsi="Arial"/>
          <w:sz w:val="18"/>
          <w:szCs w:val="18"/>
          <w:rtl w:val="0"/>
        </w:rPr>
        <w:t xml:space="preserve">(253) 804-4539 </w:t>
      </w:r>
      <w:r w:rsidDel="00000000" w:rsidR="00000000" w:rsidRPr="00000000">
        <w:rPr>
          <w:rFonts w:ascii="Open Sans" w:cs="Open Sans" w:eastAsia="Open Sans" w:hAnsi="Open Sans"/>
          <w:b w:val="1"/>
          <w:sz w:val="22"/>
          <w:szCs w:val="22"/>
          <w:rtl w:val="0"/>
        </w:rPr>
        <w:tab/>
      </w:r>
    </w:p>
    <w:p w:rsidR="00000000" w:rsidDel="00000000" w:rsidP="00000000" w:rsidRDefault="00000000" w:rsidRPr="00000000" w14:paraId="0000000F">
      <w:pPr>
        <w:ind w:left="-720" w:righ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0">
      <w:pPr>
        <w:ind w:left="-720" w:right="-720" w:firstLine="0"/>
        <w:rPr>
          <w:rFonts w:ascii="Roboto" w:cs="Roboto" w:eastAsia="Roboto" w:hAnsi="Roboto"/>
          <w:sz w:val="18"/>
          <w:szCs w:val="18"/>
        </w:rPr>
      </w:pPr>
      <w:r w:rsidDel="00000000" w:rsidR="00000000" w:rsidRPr="00000000">
        <w:rPr>
          <w:rFonts w:ascii="Open Sans" w:cs="Open Sans" w:eastAsia="Open Sans" w:hAnsi="Open Sans"/>
          <w:b w:val="1"/>
          <w:sz w:val="22"/>
          <w:szCs w:val="22"/>
          <w:rtl w:val="0"/>
        </w:rPr>
        <w:t xml:space="preserve">Course Resource Website: </w:t>
      </w:r>
      <w:r w:rsidDel="00000000" w:rsidR="00000000" w:rsidRPr="00000000">
        <w:rPr>
          <w:rFonts w:ascii="Open Sans" w:cs="Open Sans" w:eastAsia="Open Sans" w:hAnsi="Open Sans"/>
          <w:sz w:val="22"/>
          <w:szCs w:val="22"/>
          <w:rtl w:val="0"/>
        </w:rPr>
        <w:t xml:space="preserve">www.steffin.us, Google classroom </w:t>
      </w:r>
      <w:r w:rsidDel="00000000" w:rsidR="00000000" w:rsidRPr="00000000">
        <w:rPr>
          <w:rtl w:val="0"/>
        </w:rPr>
      </w:r>
    </w:p>
    <w:p w:rsidR="00000000" w:rsidDel="00000000" w:rsidP="00000000" w:rsidRDefault="00000000" w:rsidRPr="00000000" w14:paraId="00000011">
      <w:pPr>
        <w:ind w:left="-720" w:right="-72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2">
      <w:pPr>
        <w:ind w:left="-720" w:right="-720" w:firstLine="0"/>
        <w:rPr>
          <w:rFonts w:ascii="Verdana" w:cs="Verdana" w:eastAsia="Verdana" w:hAnsi="Verdana"/>
          <w:sz w:val="20"/>
          <w:szCs w:val="20"/>
        </w:rPr>
      </w:pPr>
      <w:r w:rsidDel="00000000" w:rsidR="00000000" w:rsidRPr="00000000">
        <w:rPr>
          <w:rFonts w:ascii="Open Sans" w:cs="Open Sans" w:eastAsia="Open Sans" w:hAnsi="Open Sans"/>
          <w:b w:val="1"/>
          <w:rtl w:val="0"/>
        </w:rPr>
        <w:t xml:space="preserve">Course Description</w:t>
      </w:r>
      <w:r w:rsidDel="00000000" w:rsidR="00000000" w:rsidRPr="00000000">
        <w:rPr>
          <w:rtl w:val="0"/>
        </w:rPr>
      </w:r>
    </w:p>
    <w:p w:rsidR="00000000" w:rsidDel="00000000" w:rsidP="00000000" w:rsidRDefault="00000000" w:rsidRPr="00000000" w14:paraId="00000013">
      <w:pPr>
        <w:ind w:left="-720" w:right="-7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UWHS Chem 110 is an introduction to general chemistry with an emphasis on developing problem-solving skills. The course covers basic concepts of chemistry along with the mathematics required for quantitative problem solving. For students without high school chemistry or with limited mathematics background. Successful completion of CHEM 110 prepares students to enroll in CHEM 142 while also fulfilling the general education requirement for (NW) The Natural World at the University of Washington.</w:t>
      </w:r>
    </w:p>
    <w:p w:rsidR="00000000" w:rsidDel="00000000" w:rsidP="00000000" w:rsidRDefault="00000000" w:rsidRPr="00000000" w14:paraId="00000014">
      <w:pPr>
        <w:ind w:left="-720" w:righ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Course Materials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Zumdahl, Steven S., </w:t>
      </w:r>
      <w:r w:rsidDel="00000000" w:rsidR="00000000" w:rsidRPr="00000000">
        <w:rPr>
          <w:rFonts w:ascii="Open Sans" w:cs="Open Sans" w:eastAsia="Open Sans" w:hAnsi="Open Sans"/>
          <w:sz w:val="20"/>
          <w:szCs w:val="20"/>
          <w:u w:val="single"/>
          <w:rtl w:val="0"/>
        </w:rPr>
        <w:t xml:space="preserve">Chemistry – AP Edition</w:t>
      </w:r>
      <w:r w:rsidDel="00000000" w:rsidR="00000000" w:rsidRPr="00000000">
        <w:rPr>
          <w:rFonts w:ascii="Open Sans" w:cs="Open Sans" w:eastAsia="Open Sans" w:hAnsi="Open Sans"/>
          <w:sz w:val="20"/>
          <w:szCs w:val="20"/>
          <w:rtl w:val="0"/>
        </w:rPr>
        <w:t xml:space="preserve">, (PDF on google classroom)</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Scientific Calculator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ALEKS subscription ($35 fee paid by the district)</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Composition Book, </w:t>
      </w:r>
    </w:p>
    <w:p w:rsidR="00000000" w:rsidDel="00000000" w:rsidP="00000000" w:rsidRDefault="00000000" w:rsidRPr="00000000" w14:paraId="000000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ind w:left="-720" w:righ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Learning Objectives</w:t>
      </w:r>
    </w:p>
    <w:p w:rsidR="00000000" w:rsidDel="00000000" w:rsidP="00000000" w:rsidRDefault="00000000" w:rsidRPr="00000000" w14:paraId="0000001C">
      <w:pPr>
        <w:ind w:left="-720" w:right="-7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 the end of this course, students will be able to:</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ind w:left="0" w:righ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Describe</w:t>
      </w:r>
      <w:r w:rsidDel="00000000" w:rsidR="00000000" w:rsidRPr="00000000">
        <w:rPr>
          <w:rFonts w:ascii="Open Sans" w:cs="Open Sans" w:eastAsia="Open Sans" w:hAnsi="Open Sans"/>
          <w:sz w:val="20"/>
          <w:szCs w:val="20"/>
          <w:rtl w:val="0"/>
        </w:rPr>
        <w:t xml:space="preserve"> matter qualitatively at the microscopic and macroscopic levels.</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0" w:righ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Predict </w:t>
      </w:r>
      <w:r w:rsidDel="00000000" w:rsidR="00000000" w:rsidRPr="00000000">
        <w:rPr>
          <w:rFonts w:ascii="Open Sans" w:cs="Open Sans" w:eastAsia="Open Sans" w:hAnsi="Open Sans"/>
          <w:sz w:val="20"/>
          <w:szCs w:val="20"/>
          <w:rtl w:val="0"/>
        </w:rPr>
        <w:t xml:space="preserve">microscopic quantities given macroscopic data, and vice versa.</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0" w:righ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Predict </w:t>
      </w:r>
      <w:r w:rsidDel="00000000" w:rsidR="00000000" w:rsidRPr="00000000">
        <w:rPr>
          <w:rFonts w:ascii="Open Sans" w:cs="Open Sans" w:eastAsia="Open Sans" w:hAnsi="Open Sans"/>
          <w:sz w:val="20"/>
          <w:szCs w:val="20"/>
          <w:rtl w:val="0"/>
        </w:rPr>
        <w:t xml:space="preserve">the types and amounts of products of common chemical reactions.</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0" w:righ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Analyze </w:t>
      </w:r>
      <w:r w:rsidDel="00000000" w:rsidR="00000000" w:rsidRPr="00000000">
        <w:rPr>
          <w:rFonts w:ascii="Open Sans" w:cs="Open Sans" w:eastAsia="Open Sans" w:hAnsi="Open Sans"/>
          <w:sz w:val="20"/>
          <w:szCs w:val="20"/>
          <w:rtl w:val="0"/>
        </w:rPr>
        <w:t xml:space="preserve">a complex problem using chemical principles, </w:t>
      </w:r>
      <w:r w:rsidDel="00000000" w:rsidR="00000000" w:rsidRPr="00000000">
        <w:rPr>
          <w:rFonts w:ascii="Open Sans" w:cs="Open Sans" w:eastAsia="Open Sans" w:hAnsi="Open Sans"/>
          <w:b w:val="1"/>
          <w:sz w:val="20"/>
          <w:szCs w:val="20"/>
          <w:rtl w:val="0"/>
        </w:rPr>
        <w:t xml:space="preserve">discriminate</w:t>
      </w:r>
      <w:r w:rsidDel="00000000" w:rsidR="00000000" w:rsidRPr="00000000">
        <w:rPr>
          <w:rFonts w:ascii="Open Sans" w:cs="Open Sans" w:eastAsia="Open Sans" w:hAnsi="Open Sans"/>
          <w:sz w:val="20"/>
          <w:szCs w:val="20"/>
          <w:rtl w:val="0"/>
        </w:rPr>
        <w:t xml:space="preserve"> between useful and unuseful information within the context of the problem, </w:t>
      </w:r>
      <w:r w:rsidDel="00000000" w:rsidR="00000000" w:rsidRPr="00000000">
        <w:rPr>
          <w:rFonts w:ascii="Open Sans" w:cs="Open Sans" w:eastAsia="Open Sans" w:hAnsi="Open Sans"/>
          <w:b w:val="1"/>
          <w:sz w:val="20"/>
          <w:szCs w:val="20"/>
          <w:rtl w:val="0"/>
        </w:rPr>
        <w:t xml:space="preserve">design</w:t>
      </w:r>
      <w:r w:rsidDel="00000000" w:rsidR="00000000" w:rsidRPr="00000000">
        <w:rPr>
          <w:rFonts w:ascii="Open Sans" w:cs="Open Sans" w:eastAsia="Open Sans" w:hAnsi="Open Sans"/>
          <w:sz w:val="20"/>
          <w:szCs w:val="20"/>
          <w:rtl w:val="0"/>
        </w:rPr>
        <w:t xml:space="preserve"> a solution path, and </w:t>
      </w:r>
      <w:r w:rsidDel="00000000" w:rsidR="00000000" w:rsidRPr="00000000">
        <w:rPr>
          <w:rFonts w:ascii="Open Sans" w:cs="Open Sans" w:eastAsia="Open Sans" w:hAnsi="Open Sans"/>
          <w:b w:val="1"/>
          <w:sz w:val="20"/>
          <w:szCs w:val="20"/>
          <w:rtl w:val="0"/>
        </w:rPr>
        <w:t xml:space="preserve">present</w:t>
      </w:r>
      <w:r w:rsidDel="00000000" w:rsidR="00000000" w:rsidRPr="00000000">
        <w:rPr>
          <w:rFonts w:ascii="Open Sans" w:cs="Open Sans" w:eastAsia="Open Sans" w:hAnsi="Open Sans"/>
          <w:sz w:val="20"/>
          <w:szCs w:val="20"/>
          <w:rtl w:val="0"/>
        </w:rPr>
        <w:t xml:space="preserve"> the result with appropriate descriptors.</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0" w:righ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Evaluate </w:t>
      </w:r>
      <w:r w:rsidDel="00000000" w:rsidR="00000000" w:rsidRPr="00000000">
        <w:rPr>
          <w:rFonts w:ascii="Open Sans" w:cs="Open Sans" w:eastAsia="Open Sans" w:hAnsi="Open Sans"/>
          <w:sz w:val="20"/>
          <w:szCs w:val="20"/>
          <w:rtl w:val="0"/>
        </w:rPr>
        <w:t xml:space="preserve">whether the result of a calculation makes sense, </w:t>
      </w:r>
      <w:r w:rsidDel="00000000" w:rsidR="00000000" w:rsidRPr="00000000">
        <w:rPr>
          <w:rFonts w:ascii="Open Sans" w:cs="Open Sans" w:eastAsia="Open Sans" w:hAnsi="Open Sans"/>
          <w:b w:val="1"/>
          <w:sz w:val="20"/>
          <w:szCs w:val="20"/>
          <w:rtl w:val="0"/>
        </w:rPr>
        <w:t xml:space="preserve">analyze</w:t>
      </w:r>
      <w:r w:rsidDel="00000000" w:rsidR="00000000" w:rsidRPr="00000000">
        <w:rPr>
          <w:rFonts w:ascii="Open Sans" w:cs="Open Sans" w:eastAsia="Open Sans" w:hAnsi="Open Sans"/>
          <w:sz w:val="20"/>
          <w:szCs w:val="20"/>
          <w:rtl w:val="0"/>
        </w:rPr>
        <w:t xml:space="preserve"> sources of error in the approach (i.e., arithmetic, logical, or conceptual) and </w:t>
      </w:r>
      <w:r w:rsidDel="00000000" w:rsidR="00000000" w:rsidRPr="00000000">
        <w:rPr>
          <w:rFonts w:ascii="Open Sans" w:cs="Open Sans" w:eastAsia="Open Sans" w:hAnsi="Open Sans"/>
          <w:b w:val="1"/>
          <w:sz w:val="20"/>
          <w:szCs w:val="20"/>
          <w:rtl w:val="0"/>
        </w:rPr>
        <w:t xml:space="preserve">redesign</w:t>
      </w:r>
      <w:r w:rsidDel="00000000" w:rsidR="00000000" w:rsidRPr="00000000">
        <w:rPr>
          <w:rFonts w:ascii="Open Sans" w:cs="Open Sans" w:eastAsia="Open Sans" w:hAnsi="Open Sans"/>
          <w:sz w:val="20"/>
          <w:szCs w:val="20"/>
          <w:rtl w:val="0"/>
        </w:rPr>
        <w:t xml:space="preserve"> the solution path to achieve an accurate result.</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right="-720" w:firstLine="0"/>
        <w:rPr>
          <w:rFonts w:ascii="Open Sans" w:cs="Open Sans" w:eastAsia="Open Sans" w:hAnsi="Open Sans"/>
        </w:rPr>
      </w:pPr>
      <w:r w:rsidDel="00000000" w:rsidR="00000000" w:rsidRPr="00000000">
        <w:rPr>
          <w:rFonts w:ascii="Open Sans" w:cs="Open Sans" w:eastAsia="Open Sans" w:hAnsi="Open Sans"/>
          <w:b w:val="1"/>
          <w:rtl w:val="0"/>
        </w:rPr>
        <w:t xml:space="preserve">Course Topics and Assignments </w:t>
      </w:r>
      <w:r w:rsidDel="00000000" w:rsidR="00000000" w:rsidRPr="00000000">
        <w:rPr>
          <w:rtl w:val="0"/>
        </w:rPr>
      </w:r>
    </w:p>
    <w:tbl>
      <w:tblPr>
        <w:tblStyle w:val="Table1"/>
        <w:tblW w:w="10710.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8255"/>
        <w:tblGridChange w:id="0">
          <w:tblGrid>
            <w:gridCol w:w="2455"/>
            <w:gridCol w:w="8255"/>
          </w:tblGrid>
        </w:tblGridChange>
      </w:tblGrid>
      <w:tr>
        <w:trPr>
          <w:cantSplit w:val="0"/>
          <w:trHeight w:val="1421" w:hRule="atLeast"/>
          <w:tblHeader w:val="0"/>
        </w:trPr>
        <w:tc>
          <w:tcPr/>
          <w:p w:rsidR="00000000" w:rsidDel="00000000" w:rsidP="00000000" w:rsidRDefault="00000000" w:rsidRPr="00000000" w14:paraId="00000023">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UNIT 1: Measurement/ Scientific Communication/ Foundations of Science</w:t>
            </w:r>
          </w:p>
          <w:p w:rsidR="00000000" w:rsidDel="00000000" w:rsidP="00000000" w:rsidRDefault="00000000" w:rsidRPr="00000000" w14:paraId="00000024">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PPTS: 1,1.5</w:t>
            </w:r>
          </w:p>
          <w:p w:rsidR="00000000" w:rsidDel="00000000" w:rsidP="00000000" w:rsidRDefault="00000000" w:rsidRPr="00000000" w14:paraId="00000025">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4 Weeks</w:t>
            </w:r>
          </w:p>
        </w:tc>
        <w:tc>
          <w:tcPr/>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Scientific Notation</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Measurement and significant figures</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Systems of Units: English, Metric, SI</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Converting Units and Dimensional Analysis</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Atomic Theory: Dalton, Rutherford, Millikan</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States of Matter: gas, liquid, solid</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Classification of Matter: element, compound, mixture</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Chemical vs. Physical Change </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Density </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Ions vs. Atoms</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Introduction to the Periodic Table: period vs. group; metals, nonmetals, and metalloids; reactivity trends</w:t>
            </w:r>
          </w:p>
        </w:tc>
      </w:tr>
      <w:tr>
        <w:trPr>
          <w:cantSplit w:val="0"/>
          <w:trHeight w:val="2933" w:hRule="atLeast"/>
          <w:tblHeader w:val="0"/>
        </w:trPr>
        <w:tc>
          <w:tcPr/>
          <w:p w:rsidR="00000000" w:rsidDel="00000000" w:rsidP="00000000" w:rsidRDefault="00000000" w:rsidRPr="00000000" w14:paraId="00000031">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UNIT 2: Atomic and Chemical Representations</w:t>
            </w:r>
          </w:p>
          <w:p w:rsidR="00000000" w:rsidDel="00000000" w:rsidP="00000000" w:rsidRDefault="00000000" w:rsidRPr="00000000" w14:paraId="00000032">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PPTS: 2, 2.2, 2.5, 2.8</w:t>
            </w:r>
          </w:p>
          <w:p w:rsidR="00000000" w:rsidDel="00000000" w:rsidP="00000000" w:rsidRDefault="00000000" w:rsidRPr="00000000" w14:paraId="00000033">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10/7 to 12/18</w:t>
            </w:r>
          </w:p>
          <w:p w:rsidR="00000000" w:rsidDel="00000000" w:rsidP="00000000" w:rsidRDefault="00000000" w:rsidRPr="00000000" w14:paraId="00000034">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11 Weeks</w:t>
            </w:r>
          </w:p>
        </w:tc>
        <w:tc>
          <w:tcPr/>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Brief Introduction to the Quantization of Electron Energy Levels</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Valence Electron Structure of Atoms and Ions</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Basic Lewis Structures: Octet Rule only </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VSEPR: two, three, and four electron groups only</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Molecular Polarity and Intermolecular Forces</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Introduction Periodic Table: period vs. group; metals, nonmetals, and metalloids; reactivity trends </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Introduction to Ionic vs. Covalent Bonding</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Basic differences between Ionic and Molecular compounds</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Basic Inorganic Nomenclature</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after="200"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Polyatomic Ions: composition and names of common species</w:t>
            </w:r>
          </w:p>
        </w:tc>
      </w:tr>
      <w:tr>
        <w:trPr>
          <w:cantSplit w:val="0"/>
          <w:tblHeader w:val="0"/>
        </w:trPr>
        <w:tc>
          <w:tcPr/>
          <w:p w:rsidR="00000000" w:rsidDel="00000000" w:rsidP="00000000" w:rsidRDefault="00000000" w:rsidRPr="00000000" w14:paraId="0000003F">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UNIT 3: Connecting the Micro &amp; Macroscopic </w:t>
            </w:r>
          </w:p>
          <w:p w:rsidR="00000000" w:rsidDel="00000000" w:rsidP="00000000" w:rsidRDefault="00000000" w:rsidRPr="00000000" w14:paraId="00000040">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PPT: 3</w:t>
            </w:r>
          </w:p>
          <w:p w:rsidR="00000000" w:rsidDel="00000000" w:rsidP="00000000" w:rsidRDefault="00000000" w:rsidRPr="00000000" w14:paraId="00000041">
            <w:pPr>
              <w:rPr>
                <w:b w:val="1"/>
              </w:rPr>
            </w:pPr>
            <w:r w:rsidDel="00000000" w:rsidR="00000000" w:rsidRPr="00000000">
              <w:rPr>
                <w:rFonts w:ascii="Open Sans" w:cs="Open Sans" w:eastAsia="Open Sans" w:hAnsi="Open Sans"/>
                <w:b w:val="1"/>
                <w:sz w:val="18"/>
                <w:szCs w:val="18"/>
                <w:rtl w:val="0"/>
              </w:rPr>
              <w:t xml:space="preserve">2 Weeks</w:t>
            </w:r>
            <w:r w:rsidDel="00000000" w:rsidR="00000000" w:rsidRPr="00000000">
              <w:rPr>
                <w:rtl w:val="0"/>
              </w:rPr>
            </w:r>
          </w:p>
        </w:tc>
        <w:tc>
          <w:tcPr/>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The Mole and Molar Mass as a conversion between the Macroscopic and Particulate pictures</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Molecular/Empirical Formulas</w:t>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Composition</w:t>
            </w:r>
          </w:p>
        </w:tc>
      </w:tr>
      <w:tr>
        <w:trPr>
          <w:cantSplit w:val="0"/>
          <w:trHeight w:val="1754" w:hRule="atLeast"/>
          <w:tblHeader w:val="0"/>
        </w:trPr>
        <w:tc>
          <w:tcPr/>
          <w:p w:rsidR="00000000" w:rsidDel="00000000" w:rsidP="00000000" w:rsidRDefault="00000000" w:rsidRPr="00000000" w14:paraId="00000045">
            <w:pPr>
              <w:pStyle w:val="Heading4"/>
              <w:keepNext w:val="0"/>
              <w:keepLines w:val="0"/>
              <w:spacing w:after="0" w:before="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UNIT 4: Chemical Change and Reaction Classes</w:t>
            </w:r>
          </w:p>
          <w:p w:rsidR="00000000" w:rsidDel="00000000" w:rsidP="00000000" w:rsidRDefault="00000000" w:rsidRPr="00000000" w14:paraId="00000046">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PPTS: 4, 4.5</w:t>
            </w:r>
          </w:p>
          <w:p w:rsidR="00000000" w:rsidDel="00000000" w:rsidP="00000000" w:rsidRDefault="00000000" w:rsidRPr="00000000" w14:paraId="00000047">
            <w:pPr>
              <w:rPr>
                <w:b w:val="1"/>
              </w:rPr>
            </w:pPr>
            <w:r w:rsidDel="00000000" w:rsidR="00000000" w:rsidRPr="00000000">
              <w:rPr>
                <w:rFonts w:ascii="Open Sans" w:cs="Open Sans" w:eastAsia="Open Sans" w:hAnsi="Open Sans"/>
                <w:b w:val="1"/>
                <w:sz w:val="18"/>
                <w:szCs w:val="18"/>
                <w:rtl w:val="0"/>
              </w:rPr>
              <w:t xml:space="preserve">6 Weeks</w:t>
            </w:r>
            <w:r w:rsidDel="00000000" w:rsidR="00000000" w:rsidRPr="00000000">
              <w:rPr>
                <w:rtl w:val="0"/>
              </w:rPr>
            </w:r>
          </w:p>
          <w:p w:rsidR="00000000" w:rsidDel="00000000" w:rsidP="00000000" w:rsidRDefault="00000000" w:rsidRPr="00000000" w14:paraId="00000048">
            <w:pPr>
              <w:pStyle w:val="Heading3"/>
              <w:keepNext w:val="0"/>
              <w:keepLines w:val="0"/>
              <w:spacing w:after="0" w:before="0" w:lineRule="auto"/>
              <w:ind w:left="60" w:hanging="12.000000000000002"/>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Evidence of Chemical Reaction: precipitate or gas formed, temperature change</w:t>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Reaction Classes: Precipitation, Acid-Base (Proton-Transfer), Redox (Electron Transfer), Combustion, Single- and Double-Replacement, Synthesis, Decomposition</w:t>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Solubility Trends</w:t>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Acid-Base Theories: Arrhenius, Bronsted-Lowry</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Common Strong Acids and Bases</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Stoichiometry and Limiting Reactants </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line="276" w:lineRule="auto"/>
              <w:ind w:left="432"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Actual Yield vs. Theoretical Yield; Percent Yield</w:t>
            </w:r>
          </w:p>
        </w:tc>
      </w:tr>
      <w:tr>
        <w:trPr>
          <w:cantSplit w:val="0"/>
          <w:tblHeader w:val="0"/>
        </w:trPr>
        <w:tc>
          <w:tcPr/>
          <w:p w:rsidR="00000000" w:rsidDel="00000000" w:rsidP="00000000" w:rsidRDefault="00000000" w:rsidRPr="00000000" w14:paraId="00000050">
            <w:pPr>
              <w:ind w:hanging="1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Unit 5</w:t>
            </w:r>
          </w:p>
          <w:p w:rsidR="00000000" w:rsidDel="00000000" w:rsidP="00000000" w:rsidRDefault="00000000" w:rsidRPr="00000000" w14:paraId="00000051">
            <w:pPr>
              <w:ind w:hanging="1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Thermochemistry</w:t>
            </w:r>
          </w:p>
          <w:p w:rsidR="00000000" w:rsidDel="00000000" w:rsidP="00000000" w:rsidRDefault="00000000" w:rsidRPr="00000000" w14:paraId="00000052">
            <w:pPr>
              <w:ind w:hanging="1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and Gas Laws </w:t>
            </w:r>
          </w:p>
          <w:p w:rsidR="00000000" w:rsidDel="00000000" w:rsidP="00000000" w:rsidRDefault="00000000" w:rsidRPr="00000000" w14:paraId="00000053">
            <w:pPr>
              <w:ind w:hanging="1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PPTS: 5, 5.5</w:t>
            </w:r>
          </w:p>
          <w:p w:rsidR="00000000" w:rsidDel="00000000" w:rsidP="00000000" w:rsidRDefault="00000000" w:rsidRPr="00000000" w14:paraId="00000054">
            <w:pPr>
              <w:ind w:hanging="12"/>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6 Weeks</w:t>
            </w:r>
          </w:p>
        </w:tc>
        <w:tc>
          <w:tcPr/>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System vs. Surroundings; Exo- and Endothermic; </w:t>
            </w:r>
            <w:r w:rsidDel="00000000" w:rsidR="00000000" w:rsidRPr="00000000">
              <w:rPr>
                <w:rFonts w:ascii="Open Sans" w:cs="Open Sans" w:eastAsia="Open Sans" w:hAnsi="Open Sans"/>
                <w:i w:val="1"/>
                <w:sz w:val="18"/>
                <w:szCs w:val="18"/>
                <w:rtl w:val="0"/>
              </w:rPr>
              <w:t xml:space="preserve">q = cm</w:t>
            </w:r>
            <w:r w:rsidDel="00000000" w:rsidR="00000000" w:rsidRPr="00000000">
              <w:rPr>
                <w:rFonts w:ascii="Open Sans" w:cs="Open Sans" w:eastAsia="Open Sans" w:hAnsi="Open Sans"/>
                <w:sz w:val="18"/>
                <w:szCs w:val="18"/>
                <w:rtl w:val="0"/>
              </w:rPr>
              <w:t xml:space="preserve">Δ</w:t>
            </w:r>
            <w:r w:rsidDel="00000000" w:rsidR="00000000" w:rsidRPr="00000000">
              <w:rPr>
                <w:rFonts w:ascii="Open Sans" w:cs="Open Sans" w:eastAsia="Open Sans" w:hAnsi="Open Sans"/>
                <w:i w:val="1"/>
                <w:sz w:val="18"/>
                <w:szCs w:val="18"/>
                <w:rtl w:val="0"/>
              </w:rPr>
              <w:t xml:space="preserve">T</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Definition of enthalpy</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Reaction enthalpies and Hess’s Law</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Basic Gas Laws</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Driving Force for Chemical Reaction: decrease in energy, increase in entropy</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432" w:hanging="360"/>
              <w:jc w:val="both"/>
              <w:rPr>
                <w:rFonts w:ascii="Open Sans" w:cs="Open Sans" w:eastAsia="Open Sans" w:hAnsi="Open Sans"/>
              </w:rPr>
            </w:pPr>
            <w:r w:rsidDel="00000000" w:rsidR="00000000" w:rsidRPr="00000000">
              <w:rPr>
                <w:rFonts w:ascii="Open Sans" w:cs="Open Sans" w:eastAsia="Open Sans" w:hAnsi="Open Sans"/>
                <w:sz w:val="18"/>
                <w:szCs w:val="18"/>
                <w:rtl w:val="0"/>
              </w:rPr>
              <w:t xml:space="preserve">Temperature Units and Conversions: </w:t>
            </w:r>
            <w:r w:rsidDel="00000000" w:rsidR="00000000" w:rsidRPr="00000000">
              <w:rPr>
                <w:rFonts w:ascii="Open Sans" w:cs="Open Sans" w:eastAsia="Open Sans" w:hAnsi="Open Sans"/>
                <w:sz w:val="18"/>
                <w:szCs w:val="18"/>
                <w:vertAlign w:val="superscript"/>
                <w:rtl w:val="0"/>
              </w:rPr>
              <w:t xml:space="preserve">o</w:t>
            </w:r>
            <w:r w:rsidDel="00000000" w:rsidR="00000000" w:rsidRPr="00000000">
              <w:rPr>
                <w:rFonts w:ascii="Open Sans" w:cs="Open Sans" w:eastAsia="Open Sans" w:hAnsi="Open Sans"/>
                <w:sz w:val="18"/>
                <w:szCs w:val="18"/>
                <w:rtl w:val="0"/>
              </w:rPr>
              <w:t xml:space="preserve">C, </w:t>
            </w:r>
            <w:r w:rsidDel="00000000" w:rsidR="00000000" w:rsidRPr="00000000">
              <w:rPr>
                <w:rFonts w:ascii="Open Sans" w:cs="Open Sans" w:eastAsia="Open Sans" w:hAnsi="Open Sans"/>
                <w:sz w:val="18"/>
                <w:szCs w:val="18"/>
                <w:vertAlign w:val="superscript"/>
                <w:rtl w:val="0"/>
              </w:rPr>
              <w:t xml:space="preserve">o</w:t>
            </w:r>
            <w:r w:rsidDel="00000000" w:rsidR="00000000" w:rsidRPr="00000000">
              <w:rPr>
                <w:rFonts w:ascii="Open Sans" w:cs="Open Sans" w:eastAsia="Open Sans" w:hAnsi="Open Sans"/>
                <w:sz w:val="18"/>
                <w:szCs w:val="18"/>
                <w:rtl w:val="0"/>
              </w:rPr>
              <w:t xml:space="preserve">F, 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Style w:val="Heading3"/>
              <w:keepNext w:val="0"/>
              <w:keepLines w:val="0"/>
              <w:spacing w:after="0" w:before="0" w:lineRule="auto"/>
              <w:ind w:hanging="12"/>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Additional (Time Based)</w:t>
            </w:r>
          </w:p>
          <w:p w:rsidR="00000000" w:rsidDel="00000000" w:rsidP="00000000" w:rsidRDefault="00000000" w:rsidRPr="00000000" w14:paraId="0000005C">
            <w:pPr>
              <w:pStyle w:val="Heading3"/>
              <w:keepNext w:val="0"/>
              <w:keepLines w:val="0"/>
              <w:spacing w:after="0" w:before="0" w:lineRule="auto"/>
              <w:ind w:hanging="12"/>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PPT: 6</w:t>
            </w:r>
          </w:p>
          <w:p w:rsidR="00000000" w:rsidDel="00000000" w:rsidP="00000000" w:rsidRDefault="00000000" w:rsidRPr="00000000" w14:paraId="0000005D">
            <w:pPr>
              <w:rPr/>
            </w:pPr>
            <w:r w:rsidDel="00000000" w:rsidR="00000000" w:rsidRPr="00000000">
              <w:rPr>
                <w:rFonts w:ascii="Open Sans" w:cs="Open Sans" w:eastAsia="Open Sans" w:hAnsi="Open Sans"/>
                <w:b w:val="1"/>
                <w:sz w:val="18"/>
                <w:szCs w:val="18"/>
                <w:rtl w:val="0"/>
              </w:rPr>
              <w:t xml:space="preserve">4 Weeks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numPr>
                <w:ilvl w:val="0"/>
                <w:numId w:val="2"/>
              </w:numPr>
              <w:ind w:left="450"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Nomenclature of Solutions</w:t>
            </w:r>
          </w:p>
          <w:p w:rsidR="00000000" w:rsidDel="00000000" w:rsidP="00000000" w:rsidRDefault="00000000" w:rsidRPr="00000000" w14:paraId="0000005F">
            <w:pPr>
              <w:numPr>
                <w:ilvl w:val="0"/>
                <w:numId w:val="2"/>
              </w:numPr>
              <w:ind w:left="450"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Concentration Units-Molarity molality</w:t>
            </w:r>
          </w:p>
          <w:p w:rsidR="00000000" w:rsidDel="00000000" w:rsidP="00000000" w:rsidRDefault="00000000" w:rsidRPr="00000000" w14:paraId="00000060">
            <w:pPr>
              <w:numPr>
                <w:ilvl w:val="0"/>
                <w:numId w:val="2"/>
              </w:numPr>
              <w:ind w:left="450" w:hanging="36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Colligative Properties</w:t>
            </w:r>
          </w:p>
        </w:tc>
      </w:tr>
    </w:tbl>
    <w:p w:rsidR="00000000" w:rsidDel="00000000" w:rsidP="00000000" w:rsidRDefault="00000000" w:rsidRPr="00000000" w14:paraId="0000006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Fonts w:ascii="Open Sans" w:cs="Open Sans" w:eastAsia="Open Sans" w:hAnsi="Open Sans"/>
          <w:b w:val="1"/>
          <w:rtl w:val="0"/>
        </w:rPr>
        <w:t xml:space="preserve">Classroom Expectations</w:t>
      </w:r>
      <w:r w:rsidDel="00000000" w:rsidR="00000000" w:rsidRPr="00000000">
        <w:rPr>
          <w:rtl w:val="0"/>
        </w:rPr>
      </w:r>
    </w:p>
    <w:p w:rsidR="00000000" w:rsidDel="00000000" w:rsidP="00000000" w:rsidRDefault="00000000" w:rsidRPr="00000000" w14:paraId="00000063">
      <w:pPr>
        <w:numPr>
          <w:ilvl w:val="0"/>
          <w:numId w:val="5"/>
        </w:numPr>
        <w:ind w:left="-90" w:hanging="360"/>
        <w:rPr/>
      </w:pPr>
      <w:r w:rsidDel="00000000" w:rsidR="00000000" w:rsidRPr="00000000">
        <w:rPr>
          <w:rtl w:val="0"/>
        </w:rPr>
        <w:t xml:space="preserve">Be on time, Be engaged, Be prepared!</w:t>
      </w:r>
    </w:p>
    <w:p w:rsidR="00000000" w:rsidDel="00000000" w:rsidP="00000000" w:rsidRDefault="00000000" w:rsidRPr="00000000" w14:paraId="00000064">
      <w:pPr>
        <w:numPr>
          <w:ilvl w:val="0"/>
          <w:numId w:val="5"/>
        </w:numPr>
        <w:ind w:left="-90" w:hanging="360"/>
        <w:rPr/>
      </w:pPr>
      <w:r w:rsidDel="00000000" w:rsidR="00000000" w:rsidRPr="00000000">
        <w:rPr>
          <w:rtl w:val="0"/>
        </w:rPr>
        <w:t xml:space="preserve">Classroom courtesy and respect makes for a productive classroom.  When someone is speaking in the class, respectful listening is expected. </w:t>
      </w:r>
    </w:p>
    <w:p w:rsidR="00000000" w:rsidDel="00000000" w:rsidP="00000000" w:rsidRDefault="00000000" w:rsidRPr="00000000" w14:paraId="00000065">
      <w:pPr>
        <w:numPr>
          <w:ilvl w:val="0"/>
          <w:numId w:val="5"/>
        </w:numPr>
        <w:ind w:left="-90" w:hanging="360"/>
        <w:rPr/>
      </w:pPr>
      <w:r w:rsidDel="00000000" w:rsidR="00000000" w:rsidRPr="00000000">
        <w:rPr>
          <w:rtl w:val="0"/>
        </w:rPr>
        <w:t xml:space="preserve">Absent students should access the Daily Plan on Google Classroom to see what was missed</w:t>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90" w:hanging="360"/>
        <w:rPr/>
      </w:pPr>
      <w:r w:rsidDel="00000000" w:rsidR="00000000" w:rsidRPr="00000000">
        <w:rPr>
          <w:rtl w:val="0"/>
        </w:rPr>
        <w:t xml:space="preserve">Cell phones and any bluetooth listening devices will be put away during class. The School wide cell phone policy will be enforced.</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ind w:left="-90" w:hanging="360"/>
        <w:rPr/>
      </w:pPr>
      <w:r w:rsidDel="00000000" w:rsidR="00000000" w:rsidRPr="00000000">
        <w:rPr>
          <w:rtl w:val="0"/>
        </w:rPr>
        <w:t xml:space="preserve">Follow all AMHS policies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right="-72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right="-720" w:firstLine="0"/>
        <w:rPr>
          <w:rFonts w:ascii="Open Sans" w:cs="Open Sans" w:eastAsia="Open Sans" w:hAnsi="Open Sans"/>
          <w:sz w:val="20"/>
          <w:szCs w:val="20"/>
        </w:rPr>
      </w:pPr>
      <w:r w:rsidDel="00000000" w:rsidR="00000000" w:rsidRPr="00000000">
        <w:rPr>
          <w:rFonts w:ascii="Open Sans" w:cs="Open Sans" w:eastAsia="Open Sans" w:hAnsi="Open Sans"/>
          <w:b w:val="1"/>
          <w:rtl w:val="0"/>
        </w:rPr>
        <w:t xml:space="preserve">Course Grading</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20" w:right="-720" w:firstLine="0"/>
        <w:rPr>
          <w:rFonts w:ascii="Open Sans" w:cs="Open Sans" w:eastAsia="Open Sans" w:hAnsi="Open Sans"/>
          <w:sz w:val="20"/>
          <w:szCs w:val="20"/>
        </w:rPr>
      </w:pPr>
      <w:r w:rsidDel="00000000" w:rsidR="00000000" w:rsidRPr="00000000">
        <w:rPr>
          <w:rtl w:val="0"/>
        </w:rPr>
      </w:r>
    </w:p>
    <w:tbl>
      <w:tblPr>
        <w:tblStyle w:val="Table2"/>
        <w:tblW w:w="9465.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480"/>
        <w:gridCol w:w="5985"/>
        <w:tblGridChange w:id="0">
          <w:tblGrid>
            <w:gridCol w:w="3480"/>
            <w:gridCol w:w="5985"/>
          </w:tblGrid>
        </w:tblGridChange>
      </w:tblGrid>
      <w:tr>
        <w:trPr>
          <w:cantSplit w:val="0"/>
          <w:trHeight w:val="260" w:hRule="atLeast"/>
          <w:tblHeader w:val="0"/>
        </w:trPr>
        <w:tc>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b w:val="1"/>
                <w:rtl w:val="0"/>
              </w:rPr>
              <w:t xml:space="preserve">Category/weight</w:t>
            </w:r>
            <w:r w:rsidDel="00000000" w:rsidR="00000000" w:rsidRPr="00000000">
              <w:rPr>
                <w:rtl w:val="0"/>
              </w:rPr>
            </w:r>
          </w:p>
        </w:tc>
        <w:tc>
          <w:tcPr/>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b w:val="1"/>
                <w:rtl w:val="0"/>
              </w:rPr>
              <w:t xml:space="preserve">Components</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6D">
            <w:pPr>
              <w:widowControl w:val="0"/>
              <w:rPr>
                <w:rFonts w:ascii="Arial" w:cs="Arial" w:eastAsia="Arial" w:hAnsi="Arial"/>
              </w:rPr>
            </w:pPr>
            <w:r w:rsidDel="00000000" w:rsidR="00000000" w:rsidRPr="00000000">
              <w:rPr>
                <w:rFonts w:ascii="Arial" w:cs="Arial" w:eastAsia="Arial" w:hAnsi="Arial"/>
                <w:rtl w:val="0"/>
              </w:rPr>
              <w:t xml:space="preserve">30%- Summative Assessment</w:t>
            </w:r>
          </w:p>
        </w:tc>
        <w:tc>
          <w:tcPr/>
          <w:p w:rsidR="00000000" w:rsidDel="00000000" w:rsidP="00000000" w:rsidRDefault="00000000" w:rsidRPr="00000000" w14:paraId="0000006E">
            <w:pPr>
              <w:ind w:right="-720"/>
              <w:rPr>
                <w:rFonts w:ascii="Open Sans" w:cs="Open Sans" w:eastAsia="Open Sans" w:hAnsi="Open Sans"/>
                <w:sz w:val="20"/>
                <w:szCs w:val="20"/>
              </w:rPr>
            </w:pPr>
            <w:r w:rsidDel="00000000" w:rsidR="00000000" w:rsidRPr="00000000">
              <w:rPr>
                <w:rFonts w:ascii="Arial" w:cs="Arial" w:eastAsia="Arial" w:hAnsi="Arial"/>
                <w:rtl w:val="0"/>
              </w:rPr>
              <w:t xml:space="preserve">Unit Tests 100 pts, Quizzes 25 pts (</w:t>
            </w:r>
            <w:r w:rsidDel="00000000" w:rsidR="00000000" w:rsidRPr="00000000">
              <w:rPr>
                <w:rFonts w:ascii="Arial" w:cs="Arial" w:eastAsia="Arial" w:hAnsi="Arial"/>
                <w:b w:val="1"/>
                <w:rtl w:val="0"/>
              </w:rPr>
              <w:t xml:space="preserve">No Retakes</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06F">
            <w:pPr>
              <w:widowControl w:val="0"/>
              <w:rPr>
                <w:rFonts w:ascii="Arial" w:cs="Arial" w:eastAsia="Arial" w:hAnsi="Arial"/>
              </w:rPr>
            </w:pPr>
            <w:r w:rsidDel="00000000" w:rsidR="00000000" w:rsidRPr="00000000">
              <w:rPr>
                <w:rFonts w:ascii="Arial" w:cs="Arial" w:eastAsia="Arial" w:hAnsi="Arial"/>
                <w:rtl w:val="0"/>
              </w:rPr>
              <w:t xml:space="preserve">25%- Class work</w:t>
            </w:r>
          </w:p>
        </w:tc>
        <w:tc>
          <w:tcPr>
            <w:vAlign w:val="center"/>
          </w:tcPr>
          <w:p w:rsidR="00000000" w:rsidDel="00000000" w:rsidP="00000000" w:rsidRDefault="00000000" w:rsidRPr="00000000" w14:paraId="000000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Activities (Assigned in Google Classroom), In-Class Work (Summaries, STEM movies), Participation</w:t>
            </w:r>
          </w:p>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(Late work will not be accepted after the next chapter/unit test</w:t>
            </w:r>
            <w:r w:rsidDel="00000000" w:rsidR="00000000" w:rsidRPr="00000000">
              <w:rPr>
                <w:rFonts w:ascii="Arial" w:cs="Arial" w:eastAsia="Arial" w:hAnsi="Arial"/>
                <w:sz w:val="22"/>
                <w:szCs w:val="22"/>
                <w:rtl w:val="0"/>
              </w:rPr>
              <w:t xml:space="preserve">)</w:t>
            </w:r>
          </w:p>
        </w:tc>
      </w:tr>
      <w:tr>
        <w:trPr>
          <w:cantSplit w:val="0"/>
          <w:trHeight w:val="260" w:hRule="atLeast"/>
          <w:tblHeader w:val="0"/>
        </w:trPr>
        <w:tc>
          <w:tcPr>
            <w:vAlign w:val="center"/>
          </w:tcPr>
          <w:p w:rsidR="00000000" w:rsidDel="00000000" w:rsidP="00000000" w:rsidRDefault="00000000" w:rsidRPr="00000000" w14:paraId="00000072">
            <w:pPr>
              <w:widowControl w:val="0"/>
              <w:rPr>
                <w:rFonts w:ascii="Arial" w:cs="Arial" w:eastAsia="Arial" w:hAnsi="Arial"/>
              </w:rPr>
            </w:pPr>
            <w:r w:rsidDel="00000000" w:rsidR="00000000" w:rsidRPr="00000000">
              <w:rPr>
                <w:rFonts w:ascii="Arial" w:cs="Arial" w:eastAsia="Arial" w:hAnsi="Arial"/>
                <w:rtl w:val="0"/>
              </w:rPr>
              <w:t xml:space="preserve">20%- ALEKS* **</w:t>
            </w:r>
          </w:p>
        </w:tc>
        <w:tc>
          <w:tcPr/>
          <w:p w:rsidR="00000000" w:rsidDel="00000000" w:rsidP="00000000" w:rsidRDefault="00000000" w:rsidRPr="00000000" w14:paraId="00000073">
            <w:pPr>
              <w:ind w:right="-720"/>
              <w:rPr>
                <w:rFonts w:ascii="Open Sans" w:cs="Open Sans" w:eastAsia="Open Sans" w:hAnsi="Open Sans"/>
                <w:sz w:val="20"/>
                <w:szCs w:val="20"/>
              </w:rPr>
            </w:pPr>
            <w:r w:rsidDel="00000000" w:rsidR="00000000" w:rsidRPr="00000000">
              <w:rPr>
                <w:rFonts w:ascii="Arial" w:cs="Arial" w:eastAsia="Arial" w:hAnsi="Arial"/>
                <w:sz w:val="22"/>
                <w:szCs w:val="22"/>
                <w:rtl w:val="0"/>
              </w:rPr>
              <w:t xml:space="preserve">Online computer practice required by UW</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074">
            <w:pPr>
              <w:widowControl w:val="0"/>
              <w:rPr>
                <w:rFonts w:ascii="Arial" w:cs="Arial" w:eastAsia="Arial" w:hAnsi="Arial"/>
              </w:rPr>
            </w:pPr>
            <w:r w:rsidDel="00000000" w:rsidR="00000000" w:rsidRPr="00000000">
              <w:rPr>
                <w:rFonts w:ascii="Arial" w:cs="Arial" w:eastAsia="Arial" w:hAnsi="Arial"/>
                <w:rtl w:val="0"/>
              </w:rPr>
              <w:t xml:space="preserve">25%- Labs</w:t>
            </w:r>
          </w:p>
        </w:tc>
        <w:tc>
          <w:tcPr/>
          <w:p w:rsidR="00000000" w:rsidDel="00000000" w:rsidP="00000000" w:rsidRDefault="00000000" w:rsidRPr="00000000" w14:paraId="00000075">
            <w:pPr>
              <w:widowControl w:val="0"/>
              <w:rPr>
                <w:rFonts w:ascii="Arial" w:cs="Arial" w:eastAsia="Arial" w:hAnsi="Arial"/>
              </w:rPr>
            </w:pPr>
            <w:r w:rsidDel="00000000" w:rsidR="00000000" w:rsidRPr="00000000">
              <w:rPr>
                <w:rFonts w:ascii="Arial" w:cs="Arial" w:eastAsia="Arial" w:hAnsi="Arial"/>
                <w:sz w:val="22"/>
                <w:szCs w:val="22"/>
                <w:rtl w:val="0"/>
              </w:rPr>
              <w:t xml:space="preserve">Individually turned in (</w:t>
            </w:r>
            <w:r w:rsidDel="00000000" w:rsidR="00000000" w:rsidRPr="00000000">
              <w:rPr>
                <w:rFonts w:ascii="Arial" w:cs="Arial" w:eastAsia="Arial" w:hAnsi="Arial"/>
                <w:b w:val="1"/>
                <w:sz w:val="22"/>
                <w:szCs w:val="22"/>
                <w:rtl w:val="0"/>
              </w:rPr>
              <w:t xml:space="preserve">must be present on lab days</w:t>
            </w:r>
            <w:r w:rsidDel="00000000" w:rsidR="00000000" w:rsidRPr="00000000">
              <w:rPr>
                <w:rFonts w:ascii="Arial" w:cs="Arial" w:eastAsia="Arial" w:hAnsi="Arial"/>
                <w:sz w:val="22"/>
                <w:szCs w:val="22"/>
                <w:rtl w:val="0"/>
              </w:rPr>
              <w:t xml:space="preserve">)</w:t>
            </w:r>
            <w:r w:rsidDel="00000000" w:rsidR="00000000" w:rsidRPr="00000000">
              <w:rPr>
                <w:rtl w:val="0"/>
              </w:rPr>
            </w:r>
          </w:p>
        </w:tc>
      </w:tr>
    </w:tbl>
    <w:p w:rsidR="00000000" w:rsidDel="00000000" w:rsidP="00000000" w:rsidRDefault="00000000" w:rsidRPr="00000000" w14:paraId="00000076">
      <w:pPr>
        <w:rPr>
          <w:rFonts w:ascii="Open Sans" w:cs="Open Sans" w:eastAsia="Open Sans" w:hAnsi="Open Sans"/>
          <w:b w:val="1"/>
          <w:sz w:val="20"/>
          <w:szCs w:val="20"/>
          <w:highlight w:val="green"/>
        </w:rPr>
      </w:pPr>
      <w:r w:rsidDel="00000000" w:rsidR="00000000" w:rsidRPr="00000000">
        <w:rPr>
          <w:rtl w:val="0"/>
        </w:rPr>
      </w:r>
    </w:p>
    <w:p w:rsidR="00000000" w:rsidDel="00000000" w:rsidP="00000000" w:rsidRDefault="00000000" w:rsidRPr="00000000" w14:paraId="00000077">
      <w:pPr>
        <w:ind w:left="-720" w:right="-72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8">
      <w:pPr>
        <w:ind w:left="-720" w:righ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*Students enrolled in Chemistry 110 for high school credit, need to complete 70% of ALEKS to pass the high school course</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20"/>
          <w:szCs w:val="20"/>
          <w:rtl w:val="0"/>
        </w:rPr>
        <w:t xml:space="preserve">Students registered for Chemistry 110 through the UW must achieve 70% mastery of Aleks as well as a course grade of a minimum of 1.7 (C-) to receive University credit.</w:t>
      </w:r>
    </w:p>
    <w:p w:rsidR="00000000" w:rsidDel="00000000" w:rsidP="00000000" w:rsidRDefault="00000000" w:rsidRPr="00000000" w14:paraId="00000079">
      <w:pPr>
        <w:ind w:left="-720" w:right="-72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A">
      <w:pPr>
        <w:ind w:left="-720" w:right="-720" w:firstLine="0"/>
        <w:rPr>
          <w:rFonts w:ascii="Open Sans" w:cs="Open Sans" w:eastAsia="Open Sans" w:hAnsi="Open Sans"/>
          <w:i w:val="1"/>
          <w:sz w:val="18"/>
          <w:szCs w:val="18"/>
        </w:rPr>
      </w:pPr>
      <w:r w:rsidDel="00000000" w:rsidR="00000000" w:rsidRPr="00000000">
        <w:rPr>
          <w:rFonts w:ascii="Open Sans" w:cs="Open Sans" w:eastAsia="Open Sans" w:hAnsi="Open Sans"/>
          <w:b w:val="1"/>
          <w:sz w:val="20"/>
          <w:szCs w:val="20"/>
          <w:rtl w:val="0"/>
        </w:rPr>
        <w:t xml:space="preserve">Note: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A minimum course grade of 1.7 in Chem 110 will be required for automatic entry into Chem 142 on the UW Seattle Campus. Students not earning a 1.7 will need to pass the UW Seattle General Chemistry Placement Exam to gain entry into Chem 142.</w:t>
      </w:r>
    </w:p>
    <w:p w:rsidR="00000000" w:rsidDel="00000000" w:rsidP="00000000" w:rsidRDefault="00000000" w:rsidRPr="00000000" w14:paraId="0000007B">
      <w:pPr>
        <w:ind w:left="-720" w:right="-720" w:firstLine="0"/>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7C">
      <w:pPr>
        <w:shd w:fill="ffffff" w:val="clear"/>
        <w:spacing w:after="180" w:before="180" w:lineRule="auto"/>
        <w:ind w:left="-720" w:right="-6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Summative Assessments: </w:t>
      </w:r>
      <w:r w:rsidDel="00000000" w:rsidR="00000000" w:rsidRPr="00000000">
        <w:rPr>
          <w:rFonts w:ascii="Open Sans" w:cs="Open Sans" w:eastAsia="Open Sans" w:hAnsi="Open Sans"/>
          <w:sz w:val="20"/>
          <w:szCs w:val="20"/>
          <w:rtl w:val="0"/>
        </w:rPr>
        <w:t xml:space="preserve">Mid-Term and Final Exam assessments are cumulative. </w:t>
      </w:r>
    </w:p>
    <w:p w:rsidR="00000000" w:rsidDel="00000000" w:rsidP="00000000" w:rsidRDefault="00000000" w:rsidRPr="00000000" w14:paraId="0000007D">
      <w:pPr>
        <w:shd w:fill="ffffff" w:val="clear"/>
        <w:spacing w:after="180" w:before="180" w:lineRule="auto"/>
        <w:ind w:left="-72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ALEKS: </w:t>
      </w:r>
      <w:r w:rsidDel="00000000" w:rsidR="00000000" w:rsidRPr="00000000">
        <w:rPr>
          <w:rFonts w:ascii="Open Sans" w:cs="Open Sans" w:eastAsia="Open Sans" w:hAnsi="Open Sans"/>
          <w:sz w:val="20"/>
          <w:szCs w:val="20"/>
          <w:rtl w:val="0"/>
        </w:rPr>
        <w:t xml:space="preserve">This course uses the internet-based learning program ALEKS (Assessment and LEarning in Knowledge Spaces). In ALEKS, you will work to master topics relevant to the various units of course content. ALEKS will present you with a series of problems that explore a particular topic. The problems will have enough variability that you will only be able to get them consistently correct by understanding the core principle or skill defining the topic.</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A portion of your </w:t>
      </w:r>
      <w:r w:rsidDel="00000000" w:rsidR="00000000" w:rsidRPr="00000000">
        <w:rPr>
          <w:rFonts w:ascii="Open Sans" w:cs="Open Sans" w:eastAsia="Open Sans" w:hAnsi="Open Sans"/>
          <w:b w:val="1"/>
          <w:sz w:val="20"/>
          <w:szCs w:val="20"/>
          <w:rtl w:val="0"/>
        </w:rPr>
        <w:t xml:space="preserve">ALEKS</w:t>
      </w:r>
      <w:r w:rsidDel="00000000" w:rsidR="00000000" w:rsidRPr="00000000">
        <w:rPr>
          <w:rFonts w:ascii="Open Sans" w:cs="Open Sans" w:eastAsia="Open Sans" w:hAnsi="Open Sans"/>
          <w:sz w:val="20"/>
          <w:szCs w:val="20"/>
          <w:rtl w:val="0"/>
        </w:rPr>
        <w:t xml:space="preserve"> grade is constructed from the scores on your assigned objectives (group of topics) and the rest is from the percent of the pie you complete. The more of the pie you complete, the higher your ALEKS score will be.</w:t>
      </w:r>
      <w:r w:rsidDel="00000000" w:rsidR="00000000" w:rsidRPr="00000000">
        <w:rPr>
          <w:rFonts w:ascii="Open Sans" w:cs="Open Sans" w:eastAsia="Open Sans" w:hAnsi="Open Sans"/>
          <w:b w:val="1"/>
          <w:sz w:val="20"/>
          <w:szCs w:val="20"/>
          <w:rtl w:val="0"/>
        </w:rPr>
        <w:t xml:space="preserve"> You do not have to complete the entire pie to earn credit for ALEKS, but there are minimum % mastery scores required for specific course grades</w:t>
      </w:r>
      <w:r w:rsidDel="00000000" w:rsidR="00000000" w:rsidRPr="00000000">
        <w:rPr>
          <w:rFonts w:ascii="Open Sans" w:cs="Open Sans" w:eastAsia="Open Sans" w:hAnsi="Open Sans"/>
          <w:sz w:val="20"/>
          <w:szCs w:val="20"/>
          <w:rtl w:val="0"/>
        </w:rPr>
        <w:t xml:space="preserve">.  Similarly, you do not have to complete all the topics assigned in an Objective to earn credit for the Objective; whatever percentage of topics you complete by the due date will be your score for that Objective. </w:t>
      </w:r>
    </w:p>
    <w:p w:rsidR="00000000" w:rsidDel="00000000" w:rsidP="00000000" w:rsidRDefault="00000000" w:rsidRPr="00000000" w14:paraId="0000007E">
      <w:pPr>
        <w:ind w:left="-720" w:right="-720" w:firstLine="0"/>
        <w:rPr>
          <w:rFonts w:ascii="Open Sans" w:cs="Open Sans" w:eastAsia="Open Sans" w:hAnsi="Open Sans"/>
          <w:i w:val="1"/>
          <w:sz w:val="18"/>
          <w:szCs w:val="18"/>
        </w:rPr>
      </w:pPr>
      <w:r w:rsidDel="00000000" w:rsidR="00000000" w:rsidRPr="00000000">
        <w:rPr>
          <w:rFonts w:ascii="Open Sans" w:cs="Open Sans" w:eastAsia="Open Sans" w:hAnsi="Open Sans"/>
          <w:b w:val="1"/>
          <w:sz w:val="20"/>
          <w:szCs w:val="20"/>
          <w:rtl w:val="0"/>
        </w:rPr>
        <w:t xml:space="preserve">Note: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A minimum course grade of 1.7 in Chem 110 will be required for automatic entry into Chem 142 on the UW Seattle Campus. Students not earning a 1.7 will need to pass the UW Seattle General Chemistry Placement Exam to gain entry into Chem 142.</w:t>
      </w:r>
    </w:p>
    <w:p w:rsidR="00000000" w:rsidDel="00000000" w:rsidP="00000000" w:rsidRDefault="00000000" w:rsidRPr="00000000" w14:paraId="0000007F">
      <w:pPr>
        <w:ind w:left="-720" w:right="-72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0">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81">
      <w:pPr>
        <w:ind w:left="-720" w:righ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About US in the High School (UWHS)</w:t>
      </w:r>
    </w:p>
    <w:p w:rsidR="00000000" w:rsidDel="00000000" w:rsidP="00000000" w:rsidRDefault="00000000" w:rsidRPr="00000000" w14:paraId="00000082">
      <w:pPr>
        <w:ind w:left="-720" w:right="-6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Since 1981, through UW in the High School (UWHS), the University of Washington has partnered with high schools across Washington state to offer UW courses for UW credit in the high school classroom. Courses are official UW courses, taught by the high school’s own teachers, who have been approved and trained by UW faculty. Students in the UW course have the option to register and earn UW credit and will receive from the teacher a UW HS registration form and fact sheet, with all registration details and the deadline.   </w:t>
      </w:r>
      <w:hyperlink r:id="rId8">
        <w:r w:rsidDel="00000000" w:rsidR="00000000" w:rsidRPr="00000000">
          <w:rPr>
            <w:rFonts w:ascii="Open Sans" w:cs="Open Sans" w:eastAsia="Open Sans" w:hAnsi="Open Sans"/>
            <w:sz w:val="20"/>
            <w:szCs w:val="20"/>
            <w:u w:val="single"/>
            <w:rtl w:val="0"/>
          </w:rPr>
          <w:t xml:space="preserve">https://www.uwhs.uw.edu/</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3">
      <w:pPr>
        <w:ind w:left="-720" w:right="-63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4">
      <w:pPr>
        <w:ind w:left="-720" w:right="-63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UW Academic Honesty Policy</w:t>
      </w:r>
    </w:p>
    <w:p w:rsidR="00000000" w:rsidDel="00000000" w:rsidP="00000000" w:rsidRDefault="00000000" w:rsidRPr="00000000" w14:paraId="00000085">
      <w:pPr>
        <w:ind w:left="-720" w:right="-6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registered for UW credit through UWHS are expected to adhere to the University's standards of academic honesty. This requires that students clarify assignments and procedures with their teachers, study diligently and seek help when they need it. Any suspected misconduct will be determined in collaboration with the appropriate UW academic unit and high school.</w:t>
      </w:r>
    </w:p>
    <w:p w:rsidR="00000000" w:rsidDel="00000000" w:rsidP="00000000" w:rsidRDefault="00000000" w:rsidRPr="00000000" w14:paraId="00000086">
      <w:pPr>
        <w:ind w:left="-720" w:right="-63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7">
      <w:pPr>
        <w:ind w:left="-720" w:right="-63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8">
      <w:pPr>
        <w:ind w:left="-720" w:right="-63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UW Disability Accommodations </w:t>
      </w:r>
    </w:p>
    <w:p w:rsidR="00000000" w:rsidDel="00000000" w:rsidP="00000000" w:rsidRDefault="00000000" w:rsidRPr="00000000" w14:paraId="00000089">
      <w:pPr>
        <w:ind w:left="-720" w:right="-63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For students registering for UW credit, any accommodations approved at your high school must also be approved for your UW courses by UW Disability Services Office</w:t>
      </w:r>
      <w:r w:rsidDel="00000000" w:rsidR="00000000" w:rsidRPr="00000000">
        <w:rPr>
          <w:rFonts w:ascii="Open Sans" w:cs="Open Sans" w:eastAsia="Open Sans" w:hAnsi="Open Sans"/>
          <w:sz w:val="20"/>
          <w:szCs w:val="20"/>
          <w:rtl w:val="0"/>
        </w:rPr>
        <w:t xml:space="preserve">. They can be contacted at dso@uw.edu, 206-543-6450 (voice) or 206-685-7264 (fax). Students, parents, or school staff can submit documentation (504 plan, IEP, or similar, as well as supporting documentation that outlines the diagnosis from an appropriate professional). The email/fax should also include the name and contact information for the most appropriate high school administrator (e.g., teacher, counselor, etc.).  Once the DSO staff has reviewed and approved the documentation, they will include the administrator in their confirmation email.</w:t>
      </w:r>
    </w:p>
    <w:p w:rsidR="00000000" w:rsidDel="00000000" w:rsidP="00000000" w:rsidRDefault="00000000" w:rsidRPr="00000000" w14:paraId="0000008A">
      <w:pPr>
        <w:ind w:left="-720" w:right="-63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B">
      <w:pPr>
        <w:ind w:left="-720" w:right="-63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UW Grades</w:t>
      </w:r>
    </w:p>
    <w:p w:rsidR="00000000" w:rsidDel="00000000" w:rsidP="00000000" w:rsidRDefault="00000000" w:rsidRPr="00000000" w14:paraId="0000008C">
      <w:pPr>
        <w:ind w:left="-720" w:right="-6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 will earn both a high school grade and a UW grade for this course. The UW grade you receive will follow UW grade policies and might be different from the high school grade. Your final UW grade is recorded on your UW transcript, which is an official record of your UW coursework, grades, and credits. After the course is over, the teacher submits the UW grades to UW. Until that time, your UW transcript will show the UW course along with the grade of “X”, which is a placeholder until the final UW grade is recorded. To confirm your UW grade, you can view your grades online through MyUW (which requires you to set up your UW NetID), order an official UW transcript, or ask your teacher. Grades cannot be mailed or provided over the phone.</w:t>
      </w:r>
    </w:p>
    <w:p w:rsidR="00000000" w:rsidDel="00000000" w:rsidP="00000000" w:rsidRDefault="00000000" w:rsidRPr="00000000" w14:paraId="0000008D">
      <w:pPr>
        <w:ind w:left="-720" w:righ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E">
      <w:pPr>
        <w:ind w:left="-720" w:right="-72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Dropping a UW Course</w:t>
      </w:r>
    </w:p>
    <w:p w:rsidR="00000000" w:rsidDel="00000000" w:rsidP="00000000" w:rsidRDefault="00000000" w:rsidRPr="00000000" w14:paraId="0000008F">
      <w:pPr>
        <w:ind w:left="-720" w:right="-63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register to earn UW credit and find you’re unable to complete your UW course or aren't doing well in the course, you can choose to be dropped. Dropping a course means you are no longer enrolled in the UW course and will not receive a UW grade or credit. You are, however, still enrolled in your high school course and will receive a high school grade and credit, unless you also withdraw from the class at the high school. Whether you are enrolled in a single UW course or more, you can request to be dropped from one course, some courses, or all courses. The deadline for requesting this drop is the last day of instruction noted at the top of this syllabus. If the course ends sooner than that date and/or a final UW grade is calculated by the teacher, then the UW course has ended and it is too late for students to drop. Details for dropping a course are on the UWHS website. </w:t>
      </w:r>
    </w:p>
    <w:p w:rsidR="00000000" w:rsidDel="00000000" w:rsidP="00000000" w:rsidRDefault="00000000" w:rsidRPr="00000000" w14:paraId="00000090">
      <w:pPr>
        <w:ind w:left="-720" w:right="-720" w:firstLine="0"/>
        <w:rPr>
          <w:rFonts w:ascii="Open Sans" w:cs="Open Sans" w:eastAsia="Open Sans" w:hAnsi="Open Sans"/>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5">
    <w:lvl w:ilvl="0">
      <w:start w:val="1"/>
      <w:numFmt w:val="bullet"/>
      <w:lvlText w:val="●"/>
      <w:lvlJc w:val="left"/>
      <w:pPr>
        <w:ind w:left="-9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276" w:lineRule="auto"/>
    </w:pPr>
    <w:rPr>
      <w:b w:val="1"/>
      <w:sz w:val="28"/>
      <w:szCs w:val="28"/>
    </w:rPr>
  </w:style>
  <w:style w:type="paragraph" w:styleId="Heading4">
    <w:name w:val="heading 4"/>
    <w:basedOn w:val="Normal"/>
    <w:next w:val="Normal"/>
    <w:pPr>
      <w:keepNext w:val="1"/>
      <w:keepLines w:val="1"/>
      <w:spacing w:after="40" w:before="240" w:line="276"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DA52BE"/>
    <w:rPr>
      <w:color w:val="0000ff" w:themeColor="hyperlink"/>
      <w:u w:val="single"/>
    </w:rPr>
  </w:style>
  <w:style w:type="character" w:styleId="UnresolvedMention">
    <w:name w:val="Unresolved Mention"/>
    <w:basedOn w:val="DefaultParagraphFont"/>
    <w:uiPriority w:val="99"/>
    <w:semiHidden w:val="1"/>
    <w:unhideWhenUsed w:val="1"/>
    <w:rsid w:val="00DA52B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uwhs.uw.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OEbv+i+IbZlxbxi2f1phMv0CA==">CgMxLjA4AHIhMWtncTlscWJSZ3ZYVmZ2c3VnMGZUbmc3bTdFS09XVXJq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2025-07-18T19:01:00Z</dcterms:created>
</cp:coreProperties>
</file>